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457" w14:textId="77777777" w:rsidR="00913213" w:rsidRPr="009E528C" w:rsidRDefault="00913213" w:rsidP="00913213">
      <w:pPr>
        <w:jc w:val="center"/>
        <w:rPr>
          <w:rFonts w:ascii="Calibri" w:hAnsi="Calibri"/>
          <w:sz w:val="22"/>
          <w:szCs w:val="22"/>
        </w:rPr>
      </w:pPr>
    </w:p>
    <w:p w14:paraId="3A985CE3" w14:textId="77777777" w:rsidR="00913213" w:rsidRDefault="00913213" w:rsidP="00913213">
      <w:pPr>
        <w:rPr>
          <w:rFonts w:ascii="Calibri" w:hAnsi="Calibri"/>
          <w:sz w:val="22"/>
          <w:szCs w:val="22"/>
        </w:rPr>
      </w:pPr>
    </w:p>
    <w:p w14:paraId="02303B8C" w14:textId="77777777" w:rsidR="001254C0" w:rsidRPr="009E528C" w:rsidRDefault="001254C0" w:rsidP="00913213">
      <w:pPr>
        <w:rPr>
          <w:rFonts w:ascii="Calibri" w:hAnsi="Calibri"/>
          <w:sz w:val="22"/>
          <w:szCs w:val="22"/>
        </w:rPr>
      </w:pPr>
    </w:p>
    <w:p w14:paraId="0F691D7D" w14:textId="77777777" w:rsidR="00913213" w:rsidRPr="00F56532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5FD4EB04" w14:textId="77777777" w:rsidR="00FF3D91" w:rsidRDefault="004F44D8" w:rsidP="004F44D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Recrutement :</w:t>
      </w:r>
    </w:p>
    <w:p w14:paraId="4E9CFDA8" w14:textId="60D9D1B6" w:rsidR="004F44D8" w:rsidRPr="004F44D8" w:rsidRDefault="005C3886" w:rsidP="004F44D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Facility Manager</w:t>
      </w:r>
      <w:r w:rsidR="004F44D8"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 (H/F/X)</w:t>
      </w:r>
      <w:r w:rsidR="00FF3D91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 mi-temps</w:t>
      </w:r>
    </w:p>
    <w:p w14:paraId="77BBFE2E" w14:textId="77777777" w:rsidR="00913213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021316FD" w14:textId="77777777" w:rsidR="00913213" w:rsidRPr="00222386" w:rsidRDefault="00913213" w:rsidP="00913213">
      <w:pPr>
        <w:rPr>
          <w:b/>
          <w:bCs/>
          <w:szCs w:val="28"/>
          <w:u w:val="single"/>
        </w:rPr>
      </w:pPr>
    </w:p>
    <w:p w14:paraId="6E1D7E15" w14:textId="77777777" w:rsidR="00C129E2" w:rsidRDefault="00C129E2" w:rsidP="004F44D8">
      <w:pPr>
        <w:rPr>
          <w:rFonts w:ascii="Calibri" w:hAnsi="Calibri"/>
          <w:b/>
          <w:sz w:val="20"/>
          <w:szCs w:val="22"/>
        </w:rPr>
      </w:pPr>
    </w:p>
    <w:p w14:paraId="7C7AD653" w14:textId="77777777" w:rsidR="00913213" w:rsidRPr="00222386" w:rsidRDefault="00913213" w:rsidP="00913213">
      <w:pPr>
        <w:ind w:left="720"/>
        <w:rPr>
          <w:rFonts w:ascii="Calibri" w:hAnsi="Calibri"/>
          <w:sz w:val="20"/>
          <w:szCs w:val="22"/>
        </w:rPr>
      </w:pPr>
    </w:p>
    <w:p w14:paraId="5D42E0A8" w14:textId="3E67AB00" w:rsidR="00FE500E" w:rsidRDefault="00813D26" w:rsidP="004F44D8">
      <w:pPr>
        <w:spacing w:after="200" w:line="276" w:lineRule="auto"/>
        <w:rPr>
          <w:b/>
          <w:color w:val="000000" w:themeColor="text1"/>
          <w:sz w:val="25"/>
          <w:szCs w:val="25"/>
          <w:u w:val="single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  <w:t>Description de fonction</w:t>
      </w:r>
      <w:r w:rsidR="004F44D8" w:rsidRPr="00637C73">
        <w:rPr>
          <w:b/>
          <w:color w:val="000000" w:themeColor="text1"/>
          <w:sz w:val="25"/>
          <w:szCs w:val="25"/>
          <w:u w:val="single"/>
        </w:rPr>
        <w:t> :</w:t>
      </w:r>
    </w:p>
    <w:p w14:paraId="6792F54D" w14:textId="4F89F4C3" w:rsidR="004B5170" w:rsidRDefault="00813D26" w:rsidP="004F44D8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Vous intégrez le département technique et êtes en charge de la gestion des services généraux. </w:t>
      </w:r>
      <w:r w:rsidR="0061165D" w:rsidRPr="0061165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En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</w:t>
      </w:r>
      <w:r w:rsidR="0061165D" w:rsidRPr="0061165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tant que </w:t>
      </w:r>
      <w:r w:rsidR="005C3886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Facility Manager</w:t>
      </w:r>
      <w:r w:rsidR="0061165D" w:rsidRPr="0061165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, vous</w:t>
      </w:r>
      <w:r w:rsidR="001567E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supervisez l’ensemble des opérations de maintenance et assure</w:t>
      </w:r>
      <w:r w:rsidR="0018681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z</w:t>
      </w:r>
      <w:r w:rsidR="001567E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le bon fonctionnement des facilités. 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Vous faites preuve d’autonomie et de proactivité dans la réalisation de vos tâches. Vous êtes l’interlocuteur(trice) privilégié</w:t>
      </w:r>
      <w:r w:rsidR="004B5170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(e)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des fournisseurs ainsi que du syndic et de la copropriété avec lesquels vous établissez et entretenez </w:t>
      </w:r>
      <w:r w:rsidR="0018681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une collaboration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de qualité. Vous participez à l’amélioration constante de l’environnement de travail et veillez aux conformités technique</w:t>
      </w:r>
      <w:r w:rsidR="00FF278B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s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et </w:t>
      </w:r>
      <w:r w:rsidR="0018681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légal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e</w:t>
      </w:r>
      <w:r w:rsidR="0018681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>s</w:t>
      </w:r>
      <w:r w:rsidR="0022754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des installations sous votre responsabilité.</w:t>
      </w:r>
      <w:r w:rsidR="004B5170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eastAsia="en-US"/>
        </w:rPr>
        <w:t xml:space="preserve"> Vous dépendez du directeur de service auquel vous rapportez directement.</w:t>
      </w:r>
    </w:p>
    <w:p w14:paraId="7BE9F237" w14:textId="77777777" w:rsidR="00990A9C" w:rsidRDefault="00990A9C" w:rsidP="004B5170">
      <w:pP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</w:pPr>
    </w:p>
    <w:p w14:paraId="4E6E4191" w14:textId="7797216B" w:rsidR="00913213" w:rsidRPr="004B5170" w:rsidRDefault="004B5170" w:rsidP="004B5170">
      <w:pP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</w:pPr>
      <w:r w:rsidRPr="004B5170"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  <w:t xml:space="preserve">Vos missions principales : </w:t>
      </w:r>
    </w:p>
    <w:p w14:paraId="4066FEAC" w14:textId="77777777" w:rsidR="004B5170" w:rsidRPr="00222386" w:rsidRDefault="004B5170" w:rsidP="004B5170">
      <w:pPr>
        <w:jc w:val="both"/>
        <w:rPr>
          <w:rFonts w:ascii="Calibri" w:hAnsi="Calibri"/>
          <w:sz w:val="20"/>
          <w:szCs w:val="22"/>
        </w:rPr>
      </w:pPr>
    </w:p>
    <w:p w14:paraId="6EDBFEC0" w14:textId="33021F68" w:rsidR="004B5170" w:rsidRPr="004B5170" w:rsidRDefault="004B5170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opérations de maintenance et d’entretien du bâtiment.</w:t>
      </w:r>
    </w:p>
    <w:p w14:paraId="69E844C8" w14:textId="4300C2CB" w:rsidR="004B5170" w:rsidRDefault="004B5170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projets d’aménagements des locaux.</w:t>
      </w:r>
    </w:p>
    <w:p w14:paraId="22ABAF19" w14:textId="47BF8D8D" w:rsidR="004B5170" w:rsidRDefault="004B5170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systèmes de sécurité (intrusion, accès, incendie) et les sociétés en charge des interventions.</w:t>
      </w:r>
    </w:p>
    <w:p w14:paraId="1AA6400E" w14:textId="57023C84" w:rsidR="00C37431" w:rsidRDefault="00C37431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installations HVAC</w:t>
      </w:r>
    </w:p>
    <w:p w14:paraId="0BD865EE" w14:textId="737BAE92" w:rsidR="004715BB" w:rsidRDefault="004715BB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systèmes et abonnements de télécommunication fixe et mobile.</w:t>
      </w:r>
    </w:p>
    <w:p w14:paraId="402279EC" w14:textId="2E9BDDB8" w:rsidR="004B5170" w:rsidRDefault="004B5170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Procéder à la rédaction et à l’exécution des appels d’offre</w:t>
      </w:r>
      <w:r w:rsidR="00CE7B2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dans le respect de la législation sur les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marchés publics.</w:t>
      </w:r>
    </w:p>
    <w:p w14:paraId="2C959AB6" w14:textId="21947904" w:rsidR="002F507C" w:rsidRDefault="002F507C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Contrôler l’exécution et vérifier la qualité des services des prestataires.</w:t>
      </w:r>
    </w:p>
    <w:p w14:paraId="4642B4FB" w14:textId="15326A5A" w:rsidR="004B5170" w:rsidRDefault="004B5170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la flotte de véhicule</w:t>
      </w:r>
      <w:r w:rsidR="00CE7B2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14:paraId="57AF5016" w14:textId="516B9F6F" w:rsidR="004B5170" w:rsidRDefault="00C37431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Procéder aux renouvellements et négociations des contrats.</w:t>
      </w:r>
    </w:p>
    <w:p w14:paraId="28D03C51" w14:textId="7199D89D" w:rsidR="004715BB" w:rsidRDefault="004715BB" w:rsidP="0036360B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Représenter l’entreprise et assurer le suivi auprès du syndic et du conseil de copropriété.</w:t>
      </w:r>
    </w:p>
    <w:p w14:paraId="5E22AF96" w14:textId="2509798C" w:rsidR="00990A9C" w:rsidRPr="004715BB" w:rsidRDefault="006721CD" w:rsidP="00990A9C">
      <w:pPr>
        <w:pStyle w:val="Paragraphedeliste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 stock et l’approvisionnement des fournitures de bureau pour l’entreprise.</w:t>
      </w:r>
    </w:p>
    <w:p w14:paraId="00C24060" w14:textId="77777777"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14:paraId="4A1EB673" w14:textId="0C8124C0" w:rsidR="00B71F14" w:rsidRDefault="004F44D8" w:rsidP="004F44D8">
      <w:pPr>
        <w:spacing w:after="200" w:line="276" w:lineRule="auto"/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lastRenderedPageBreak/>
        <w:t>Profil requis:</w:t>
      </w:r>
    </w:p>
    <w:p w14:paraId="1C8EC913" w14:textId="55B9E05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</w:t>
      </w:r>
      <w:r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disposez d’</w:t>
      </w: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un bachelier technique ou bénéficiez d’une expérience équivalente</w:t>
      </w:r>
    </w:p>
    <w:p w14:paraId="2CC4ABE7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une première expérience significative en gestion d’infrastructure</w:t>
      </w:r>
    </w:p>
    <w:p w14:paraId="10039A22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une grande capacité d’organisation</w:t>
      </w:r>
    </w:p>
    <w:p w14:paraId="753CBC53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le sens des priorités, du détail et pouvez gérer aisément les urgences</w:t>
      </w:r>
    </w:p>
    <w:p w14:paraId="3611C246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le sens de l’anticipation et savez planifier</w:t>
      </w:r>
    </w:p>
    <w:p w14:paraId="6256D6A9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allez à la recherche des informations</w:t>
      </w:r>
    </w:p>
    <w:p w14:paraId="38760C6D" w14:textId="77777777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savez écouter, communiquer avec clarté et amabilité</w:t>
      </w:r>
    </w:p>
    <w:p w14:paraId="23C7952E" w14:textId="3FB922C6" w:rsidR="00881995" w:rsidRPr="00C112D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un réel self control</w:t>
      </w:r>
      <w:r w:rsid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, êtes diplomate et restez</w:t>
      </w: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calme en toute circonstance</w:t>
      </w:r>
    </w:p>
    <w:p w14:paraId="3AB2C88C" w14:textId="05FC3588" w:rsidR="00881995" w:rsidRDefault="00881995" w:rsidP="00122D1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C112D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faites preuve de proactivité</w:t>
      </w:r>
    </w:p>
    <w:p w14:paraId="4A287855" w14:textId="77777777" w:rsidR="00122D19" w:rsidRDefault="00122D19" w:rsidP="00122D19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êtes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polyvalent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(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)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, flexible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,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autonome</w:t>
      </w:r>
    </w:p>
    <w:p w14:paraId="518A48D5" w14:textId="77777777" w:rsidR="00122D19" w:rsidRDefault="00881995" w:rsidP="00122D19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 orienté résultat et service client</w:t>
      </w:r>
    </w:p>
    <w:p w14:paraId="2E4E7A0B" w14:textId="10DB8BAE" w:rsidR="00881995" w:rsidRPr="00122D19" w:rsidRDefault="00881995" w:rsidP="00122D19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communiquez aisément </w:t>
      </w:r>
      <w:r w:rsidR="00122D19"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en français </w:t>
      </w:r>
      <w:r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tant à l'oral qu'à l'écrit</w:t>
      </w:r>
    </w:p>
    <w:p w14:paraId="42C6B35B" w14:textId="77777777" w:rsidR="00122D19" w:rsidRDefault="00122D19" w:rsidP="00122D19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outils informatiques Word et Excel</w:t>
      </w:r>
    </w:p>
    <w:p w14:paraId="324D4F6E" w14:textId="0EDB96AE" w:rsidR="00122D19" w:rsidRDefault="00D02180" w:rsidP="00122D19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du p</w:t>
      </w:r>
      <w:r w:rsidR="00122D19"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ermis de conduire B</w:t>
      </w:r>
    </w:p>
    <w:p w14:paraId="3BCBBB41" w14:textId="228249B3" w:rsidR="006270BD" w:rsidRPr="00CC1091" w:rsidRDefault="00881995" w:rsidP="00CC1091">
      <w:pPr>
        <w:pStyle w:val="Paragraphedeliste"/>
        <w:numPr>
          <w:ilvl w:val="0"/>
          <w:numId w:val="15"/>
        </w:numPr>
        <w:spacing w:after="200" w:line="360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La connaissance d'Autocad est un </w:t>
      </w:r>
      <w:r w:rsidR="00122D19" w:rsidRPr="00122D1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atout</w:t>
      </w:r>
    </w:p>
    <w:p w14:paraId="11DB85EE" w14:textId="77777777" w:rsidR="00913213" w:rsidRPr="004F44D8" w:rsidRDefault="00913213" w:rsidP="00913213">
      <w:pP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2DADC2B8" w14:textId="7D7BA9AB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BX1, média régional ambitieux, offre un poste stable (CDI) </w:t>
      </w:r>
      <w:r w:rsidR="00754A8C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à </w:t>
      </w:r>
      <w:r w:rsidR="00754A8C" w:rsidRPr="00754A8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mi-temps 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pour un salaire et des avantages sociaux attractifs. Les candidatures, consistant en un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CV, une lettre de motivation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. Les candidatures sont à envoyer par courriel,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avant le </w:t>
      </w:r>
      <w:r w:rsidR="00FF278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30 </w:t>
      </w:r>
      <w:r w:rsidR="00122D19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avril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20</w:t>
      </w:r>
      <w:r w:rsidR="00122D19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20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, à </w:t>
      </w:r>
    </w:p>
    <w:p w14:paraId="7E13DCB7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Madame Sandrine Tichon, Directrice des Ressources Humaines, BX1 asbl, 32-34 rue Gabrielle Petit à 1080 Bruxelles.</w:t>
      </w:r>
    </w:p>
    <w:p w14:paraId="5B074A72" w14:textId="77777777" w:rsidR="006270BD" w:rsidRPr="006270BD" w:rsidRDefault="001E650C" w:rsidP="006270BD">
      <w:pPr>
        <w:spacing w:after="200"/>
        <w:rPr>
          <w:rStyle w:val="Lienhypertexte"/>
          <w:rFonts w:ascii="Calibri" w:eastAsiaTheme="minorHAnsi" w:hAnsi="Calibri" w:cs="Calibri"/>
          <w:sz w:val="25"/>
          <w:szCs w:val="25"/>
        </w:rPr>
      </w:pPr>
      <w:hyperlink r:id="rId8" w:history="1">
        <w:r w:rsidR="00754A8C">
          <w:rPr>
            <w:rStyle w:val="Lienhypertexte"/>
            <w:rFonts w:ascii="Calibri" w:hAnsi="Calibri" w:cs="Calibri"/>
            <w:sz w:val="25"/>
            <w:szCs w:val="25"/>
            <w:lang w:val="fr-BE" w:eastAsia="en-US"/>
          </w:rPr>
          <w:t>job.recrutement@bx1.be</w:t>
        </w:r>
      </w:hyperlink>
    </w:p>
    <w:p w14:paraId="7863A9EB" w14:textId="77777777" w:rsidR="00AC5D1F" w:rsidRPr="006270BD" w:rsidRDefault="00AC5D1F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sectPr w:rsidR="00AC5D1F" w:rsidRPr="006270BD" w:rsidSect="002223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6D21" w14:textId="77777777" w:rsidR="001E650C" w:rsidRDefault="001E650C" w:rsidP="001254C0">
      <w:r>
        <w:separator/>
      </w:r>
    </w:p>
  </w:endnote>
  <w:endnote w:type="continuationSeparator" w:id="0">
    <w:p w14:paraId="1E9A79E6" w14:textId="77777777" w:rsidR="001E650C" w:rsidRDefault="001E650C" w:rsidP="001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F0C9" w14:textId="77777777" w:rsidR="001254C0" w:rsidRDefault="001254C0">
    <w:pPr>
      <w:pStyle w:val="Pieddepage"/>
    </w:pPr>
  </w:p>
  <w:p w14:paraId="3D272DBB" w14:textId="77777777" w:rsidR="001254C0" w:rsidRDefault="00125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8C48" w14:textId="77777777" w:rsidR="001E650C" w:rsidRDefault="001E650C" w:rsidP="001254C0">
      <w:r>
        <w:separator/>
      </w:r>
    </w:p>
  </w:footnote>
  <w:footnote w:type="continuationSeparator" w:id="0">
    <w:p w14:paraId="784F03E1" w14:textId="77777777" w:rsidR="001E650C" w:rsidRDefault="001E650C" w:rsidP="0012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9263" w14:textId="77777777" w:rsidR="001254C0" w:rsidRDefault="001254C0">
    <w:pPr>
      <w:pStyle w:val="En-tte"/>
    </w:pPr>
    <w:r w:rsidRPr="007755EC">
      <w:rPr>
        <w:noProof/>
        <w:lang w:eastAsia="fr-BE"/>
      </w:rPr>
      <w:drawing>
        <wp:inline distT="0" distB="0" distL="0" distR="0" wp14:anchorId="4B498FC4" wp14:editId="601D249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E96BD" w14:textId="77777777" w:rsidR="001254C0" w:rsidRDefault="00125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1B7"/>
    <w:multiLevelType w:val="multilevel"/>
    <w:tmpl w:val="247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538F3"/>
    <w:multiLevelType w:val="multilevel"/>
    <w:tmpl w:val="27C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D306A"/>
    <w:multiLevelType w:val="hybridMultilevel"/>
    <w:tmpl w:val="2BE2C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49E"/>
    <w:multiLevelType w:val="multilevel"/>
    <w:tmpl w:val="3A7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8293F"/>
    <w:multiLevelType w:val="hybridMultilevel"/>
    <w:tmpl w:val="FC6ECDC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97655"/>
    <w:multiLevelType w:val="multilevel"/>
    <w:tmpl w:val="BFA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C6C93"/>
    <w:multiLevelType w:val="hybridMultilevel"/>
    <w:tmpl w:val="22A8DB6E"/>
    <w:lvl w:ilvl="0" w:tplc="9988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35E52"/>
    <w:multiLevelType w:val="hybridMultilevel"/>
    <w:tmpl w:val="62FE0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C858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4FF4"/>
    <w:multiLevelType w:val="hybridMultilevel"/>
    <w:tmpl w:val="1A36D7F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A5028"/>
    <w:multiLevelType w:val="hybridMultilevel"/>
    <w:tmpl w:val="9ADC9454"/>
    <w:lvl w:ilvl="0" w:tplc="998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40CA"/>
    <w:multiLevelType w:val="hybridMultilevel"/>
    <w:tmpl w:val="B10A6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4AC5"/>
    <w:multiLevelType w:val="multilevel"/>
    <w:tmpl w:val="71E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550FA"/>
    <w:multiLevelType w:val="hybridMultilevel"/>
    <w:tmpl w:val="C0B8E1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27B90"/>
    <w:multiLevelType w:val="hybridMultilevel"/>
    <w:tmpl w:val="489ACD20"/>
    <w:lvl w:ilvl="0" w:tplc="998867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55"/>
    <w:rsid w:val="0003582E"/>
    <w:rsid w:val="000459B0"/>
    <w:rsid w:val="0004649F"/>
    <w:rsid w:val="000524D4"/>
    <w:rsid w:val="0008656A"/>
    <w:rsid w:val="00097807"/>
    <w:rsid w:val="000B3689"/>
    <w:rsid w:val="00102C20"/>
    <w:rsid w:val="00105C2A"/>
    <w:rsid w:val="001073CF"/>
    <w:rsid w:val="00122D19"/>
    <w:rsid w:val="001254C0"/>
    <w:rsid w:val="00151CEB"/>
    <w:rsid w:val="001564B2"/>
    <w:rsid w:val="001567ED"/>
    <w:rsid w:val="00186818"/>
    <w:rsid w:val="001A0AC9"/>
    <w:rsid w:val="001D0133"/>
    <w:rsid w:val="001E650C"/>
    <w:rsid w:val="001F5AC7"/>
    <w:rsid w:val="00200657"/>
    <w:rsid w:val="00222386"/>
    <w:rsid w:val="00227544"/>
    <w:rsid w:val="00236259"/>
    <w:rsid w:val="00240AAA"/>
    <w:rsid w:val="002478E3"/>
    <w:rsid w:val="002562EC"/>
    <w:rsid w:val="00262194"/>
    <w:rsid w:val="00263292"/>
    <w:rsid w:val="00270DE3"/>
    <w:rsid w:val="00272EAE"/>
    <w:rsid w:val="00281EF0"/>
    <w:rsid w:val="002835FA"/>
    <w:rsid w:val="0029299F"/>
    <w:rsid w:val="002C4A81"/>
    <w:rsid w:val="002F507C"/>
    <w:rsid w:val="00300F36"/>
    <w:rsid w:val="00326EF0"/>
    <w:rsid w:val="00345B08"/>
    <w:rsid w:val="00362619"/>
    <w:rsid w:val="0036360B"/>
    <w:rsid w:val="00373909"/>
    <w:rsid w:val="003A1A24"/>
    <w:rsid w:val="003D41FC"/>
    <w:rsid w:val="00407D45"/>
    <w:rsid w:val="004152F4"/>
    <w:rsid w:val="00423E10"/>
    <w:rsid w:val="004536B3"/>
    <w:rsid w:val="004715BB"/>
    <w:rsid w:val="004A5AFB"/>
    <w:rsid w:val="004B2C67"/>
    <w:rsid w:val="004B5170"/>
    <w:rsid w:val="004C4537"/>
    <w:rsid w:val="004E7CFE"/>
    <w:rsid w:val="004F44D8"/>
    <w:rsid w:val="00527340"/>
    <w:rsid w:val="00531A05"/>
    <w:rsid w:val="00542552"/>
    <w:rsid w:val="005564B5"/>
    <w:rsid w:val="00563E54"/>
    <w:rsid w:val="005A114C"/>
    <w:rsid w:val="005B66D8"/>
    <w:rsid w:val="005C3886"/>
    <w:rsid w:val="005D06FE"/>
    <w:rsid w:val="005D1B1B"/>
    <w:rsid w:val="005E724E"/>
    <w:rsid w:val="005F5AF5"/>
    <w:rsid w:val="0061165D"/>
    <w:rsid w:val="00617060"/>
    <w:rsid w:val="00624C98"/>
    <w:rsid w:val="006270BD"/>
    <w:rsid w:val="006506F5"/>
    <w:rsid w:val="00663561"/>
    <w:rsid w:val="0067218E"/>
    <w:rsid w:val="006721CD"/>
    <w:rsid w:val="006777A1"/>
    <w:rsid w:val="006B6C54"/>
    <w:rsid w:val="006C1725"/>
    <w:rsid w:val="006F05AB"/>
    <w:rsid w:val="00710A2F"/>
    <w:rsid w:val="00754A8C"/>
    <w:rsid w:val="0077595B"/>
    <w:rsid w:val="00796257"/>
    <w:rsid w:val="00796B14"/>
    <w:rsid w:val="007A7F29"/>
    <w:rsid w:val="007B4E55"/>
    <w:rsid w:val="007F1E25"/>
    <w:rsid w:val="007F3ED7"/>
    <w:rsid w:val="00813D26"/>
    <w:rsid w:val="00836D85"/>
    <w:rsid w:val="00842D55"/>
    <w:rsid w:val="0087009E"/>
    <w:rsid w:val="00881995"/>
    <w:rsid w:val="0088218A"/>
    <w:rsid w:val="00891BD1"/>
    <w:rsid w:val="008B0520"/>
    <w:rsid w:val="008E56F7"/>
    <w:rsid w:val="00913213"/>
    <w:rsid w:val="009263B8"/>
    <w:rsid w:val="00926820"/>
    <w:rsid w:val="009722CC"/>
    <w:rsid w:val="009814C4"/>
    <w:rsid w:val="00990A9C"/>
    <w:rsid w:val="00994174"/>
    <w:rsid w:val="00994AD3"/>
    <w:rsid w:val="009E4A97"/>
    <w:rsid w:val="009E528C"/>
    <w:rsid w:val="00A31E93"/>
    <w:rsid w:val="00A54570"/>
    <w:rsid w:val="00A62E9B"/>
    <w:rsid w:val="00A65C47"/>
    <w:rsid w:val="00A72E6B"/>
    <w:rsid w:val="00A87CDB"/>
    <w:rsid w:val="00AC5D1F"/>
    <w:rsid w:val="00B576E3"/>
    <w:rsid w:val="00B63DC8"/>
    <w:rsid w:val="00B71F14"/>
    <w:rsid w:val="00BE10FF"/>
    <w:rsid w:val="00BF03C9"/>
    <w:rsid w:val="00C03383"/>
    <w:rsid w:val="00C129E2"/>
    <w:rsid w:val="00C37431"/>
    <w:rsid w:val="00C660A8"/>
    <w:rsid w:val="00C978A4"/>
    <w:rsid w:val="00CB49DF"/>
    <w:rsid w:val="00CC1091"/>
    <w:rsid w:val="00CC6048"/>
    <w:rsid w:val="00CE7B29"/>
    <w:rsid w:val="00D02180"/>
    <w:rsid w:val="00D05DC5"/>
    <w:rsid w:val="00D57EE2"/>
    <w:rsid w:val="00D6273D"/>
    <w:rsid w:val="00D63541"/>
    <w:rsid w:val="00D746B5"/>
    <w:rsid w:val="00D75345"/>
    <w:rsid w:val="00D83EDE"/>
    <w:rsid w:val="00DB1DED"/>
    <w:rsid w:val="00DB5193"/>
    <w:rsid w:val="00DE190A"/>
    <w:rsid w:val="00DF78D6"/>
    <w:rsid w:val="00E060FA"/>
    <w:rsid w:val="00E130F4"/>
    <w:rsid w:val="00E44F99"/>
    <w:rsid w:val="00E50810"/>
    <w:rsid w:val="00E53292"/>
    <w:rsid w:val="00E533DC"/>
    <w:rsid w:val="00ED679A"/>
    <w:rsid w:val="00EF0989"/>
    <w:rsid w:val="00EF5445"/>
    <w:rsid w:val="00F654CA"/>
    <w:rsid w:val="00F83E56"/>
    <w:rsid w:val="00FB3D0C"/>
    <w:rsid w:val="00FD5158"/>
    <w:rsid w:val="00FE500E"/>
    <w:rsid w:val="00FF03F9"/>
    <w:rsid w:val="00FF278B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ABAEF0"/>
  <w15:docId w15:val="{E6C1E761-E992-4A1D-A4C9-7207BF9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55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7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AC5D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0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0F3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4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4C0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4C0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1C8E-7743-40C7-BDF7-9D85D1D7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mailto:sandrine.tichon@telebruxelles.be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 Haan</dc:creator>
  <cp:lastModifiedBy>Grégory Ienco</cp:lastModifiedBy>
  <cp:revision>2</cp:revision>
  <dcterms:created xsi:type="dcterms:W3CDTF">2020-04-09T09:20:00Z</dcterms:created>
  <dcterms:modified xsi:type="dcterms:W3CDTF">2020-04-09T09:20:00Z</dcterms:modified>
</cp:coreProperties>
</file>